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03C87">
      <w:pPr>
        <w:spacing w:line="480" w:lineRule="auto"/>
        <w:jc w:val="both"/>
        <w:rPr>
          <w:rFonts w:hint="eastAsia"/>
          <w:b/>
          <w:bCs/>
          <w:sz w:val="28"/>
          <w:szCs w:val="28"/>
        </w:rPr>
      </w:pPr>
      <w:r>
        <w:rPr>
          <w:rFonts w:hint="eastAsia"/>
          <w:b/>
          <w:bCs/>
          <w:sz w:val="28"/>
          <w:szCs w:val="28"/>
        </w:rPr>
        <w:t xml:space="preserve">附件： </w:t>
      </w:r>
    </w:p>
    <w:p w14:paraId="3840944E">
      <w:pPr>
        <w:spacing w:line="480" w:lineRule="auto"/>
        <w:jc w:val="center"/>
        <w:rPr>
          <w:rFonts w:hint="eastAsia" w:ascii="宋体" w:hAnsi="宋体" w:eastAsia="宋体" w:cs="宋体"/>
          <w:b/>
          <w:bCs/>
          <w:sz w:val="32"/>
          <w:szCs w:val="32"/>
        </w:rPr>
      </w:pPr>
      <w:r>
        <w:rPr>
          <w:rFonts w:hint="eastAsia" w:ascii="宋体" w:hAnsi="宋体" w:eastAsia="宋体" w:cs="宋体"/>
          <w:b/>
          <w:bCs/>
          <w:sz w:val="32"/>
          <w:szCs w:val="32"/>
        </w:rPr>
        <w:t>拟</w:t>
      </w:r>
      <w:r>
        <w:rPr>
          <w:rFonts w:hint="eastAsia" w:ascii="宋体" w:hAnsi="宋体" w:eastAsia="宋体" w:cs="宋体"/>
          <w:b/>
          <w:bCs/>
          <w:sz w:val="32"/>
          <w:szCs w:val="32"/>
          <w:lang w:eastAsia="zh-CN"/>
        </w:rPr>
        <w:t>推荐</w:t>
      </w:r>
      <w:r>
        <w:rPr>
          <w:rFonts w:hint="eastAsia" w:ascii="宋体" w:hAnsi="宋体" w:cs="宋体"/>
          <w:b/>
          <w:bCs/>
          <w:sz w:val="32"/>
          <w:szCs w:val="32"/>
          <w:lang w:val="en-US" w:eastAsia="zh-CN"/>
        </w:rPr>
        <w:t>课题</w:t>
      </w:r>
      <w:r>
        <w:rPr>
          <w:rFonts w:hint="eastAsia" w:ascii="宋体" w:hAnsi="宋体" w:eastAsia="宋体" w:cs="宋体"/>
          <w:b/>
          <w:bCs/>
          <w:sz w:val="32"/>
          <w:szCs w:val="32"/>
        </w:rPr>
        <w:t>名单</w:t>
      </w:r>
    </w:p>
    <w:tbl>
      <w:tblPr>
        <w:tblStyle w:val="3"/>
        <w:tblW w:w="81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427"/>
        <w:gridCol w:w="4905"/>
        <w:gridCol w:w="1045"/>
      </w:tblGrid>
      <w:tr w14:paraId="52BD6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exact"/>
          <w:jc w:val="center"/>
        </w:trPr>
        <w:tc>
          <w:tcPr>
            <w:tcW w:w="759" w:type="dxa"/>
            <w:vAlign w:val="center"/>
          </w:tcPr>
          <w:p w14:paraId="494E3C44">
            <w:pPr>
              <w:jc w:val="center"/>
              <w:rPr>
                <w:rFonts w:ascii="黑体" w:hAnsi="黑体" w:eastAsia="黑体"/>
                <w:color w:val="auto"/>
                <w:sz w:val="24"/>
                <w:szCs w:val="24"/>
              </w:rPr>
            </w:pPr>
            <w:r>
              <w:rPr>
                <w:rFonts w:hint="eastAsia" w:ascii="黑体" w:hAnsi="黑体" w:eastAsia="黑体"/>
                <w:color w:val="auto"/>
                <w:sz w:val="24"/>
                <w:szCs w:val="24"/>
              </w:rPr>
              <w:t>序号</w:t>
            </w:r>
          </w:p>
        </w:tc>
        <w:tc>
          <w:tcPr>
            <w:tcW w:w="1427" w:type="dxa"/>
            <w:vAlign w:val="center"/>
          </w:tcPr>
          <w:p w14:paraId="037CB247">
            <w:pPr>
              <w:jc w:val="center"/>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类别</w:t>
            </w:r>
          </w:p>
        </w:tc>
        <w:tc>
          <w:tcPr>
            <w:tcW w:w="4905" w:type="dxa"/>
            <w:vAlign w:val="center"/>
          </w:tcPr>
          <w:p w14:paraId="6ADE81FF">
            <w:pPr>
              <w:jc w:val="center"/>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课题名称</w:t>
            </w:r>
          </w:p>
        </w:tc>
        <w:tc>
          <w:tcPr>
            <w:tcW w:w="1045" w:type="dxa"/>
            <w:vAlign w:val="center"/>
          </w:tcPr>
          <w:p w14:paraId="2119488D">
            <w:pPr>
              <w:jc w:val="center"/>
              <w:rPr>
                <w:rFonts w:ascii="黑体" w:hAnsi="黑体" w:eastAsia="黑体"/>
                <w:color w:val="auto"/>
                <w:sz w:val="24"/>
                <w:szCs w:val="24"/>
              </w:rPr>
            </w:pPr>
            <w:r>
              <w:rPr>
                <w:rFonts w:hint="eastAsia" w:ascii="黑体" w:hAnsi="黑体" w:eastAsia="黑体"/>
                <w:color w:val="auto"/>
                <w:sz w:val="24"/>
                <w:szCs w:val="24"/>
              </w:rPr>
              <w:t>负责人</w:t>
            </w:r>
          </w:p>
        </w:tc>
      </w:tr>
      <w:tr w14:paraId="2983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759" w:type="dxa"/>
            <w:vAlign w:val="center"/>
          </w:tcPr>
          <w:p w14:paraId="3083D63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427" w:type="dxa"/>
            <w:shd w:val="clear" w:color="auto" w:fill="auto"/>
            <w:vAlign w:val="center"/>
          </w:tcPr>
          <w:p w14:paraId="23A787D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重点课题</w:t>
            </w:r>
          </w:p>
          <w:p w14:paraId="16418D9A">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（跨校联合）</w:t>
            </w:r>
          </w:p>
        </w:tc>
        <w:tc>
          <w:tcPr>
            <w:tcW w:w="4905" w:type="dxa"/>
            <w:shd w:val="clear" w:color="auto" w:fill="auto"/>
            <w:vAlign w:val="center"/>
          </w:tcPr>
          <w:p w14:paraId="5DA56C2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健康中国战略下中医养生学本科专业养生学核心课程体系建设研究</w:t>
            </w:r>
          </w:p>
        </w:tc>
        <w:tc>
          <w:tcPr>
            <w:tcW w:w="1045" w:type="dxa"/>
            <w:shd w:val="clear" w:color="auto" w:fill="auto"/>
            <w:vAlign w:val="center"/>
          </w:tcPr>
          <w:p w14:paraId="72AB578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陈涤平、张浩文</w:t>
            </w:r>
          </w:p>
        </w:tc>
      </w:tr>
      <w:tr w14:paraId="2D991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59" w:type="dxa"/>
            <w:vAlign w:val="center"/>
          </w:tcPr>
          <w:p w14:paraId="3E056D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427" w:type="dxa"/>
            <w:shd w:val="clear" w:color="auto" w:fill="auto"/>
            <w:vAlign w:val="center"/>
          </w:tcPr>
          <w:p w14:paraId="256676E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重点课题</w:t>
            </w:r>
          </w:p>
        </w:tc>
        <w:tc>
          <w:tcPr>
            <w:tcW w:w="4905" w:type="dxa"/>
            <w:shd w:val="clear" w:color="auto" w:fill="auto"/>
            <w:vAlign w:val="center"/>
          </w:tcPr>
          <w:p w14:paraId="124773D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面向中医药终身教育高质量发展的跨学科“课程-教材”体系建设策略与实践研究</w:t>
            </w:r>
          </w:p>
        </w:tc>
        <w:tc>
          <w:tcPr>
            <w:tcW w:w="1045" w:type="dxa"/>
            <w:shd w:val="clear" w:color="auto" w:fill="auto"/>
            <w:vAlign w:val="center"/>
          </w:tcPr>
          <w:p w14:paraId="0ADFD91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朱华旭</w:t>
            </w:r>
          </w:p>
        </w:tc>
      </w:tr>
      <w:tr w14:paraId="55DD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59" w:type="dxa"/>
            <w:vAlign w:val="center"/>
          </w:tcPr>
          <w:p w14:paraId="6970E36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427" w:type="dxa"/>
            <w:shd w:val="clear" w:color="auto" w:fill="auto"/>
            <w:vAlign w:val="center"/>
          </w:tcPr>
          <w:p w14:paraId="14779A8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一般课题</w:t>
            </w:r>
          </w:p>
        </w:tc>
        <w:tc>
          <w:tcPr>
            <w:tcW w:w="4905" w:type="dxa"/>
            <w:shd w:val="clear" w:color="auto" w:fill="auto"/>
            <w:vAlign w:val="center"/>
          </w:tcPr>
          <w:p w14:paraId="56CE3C9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基于金陵医派传承的院校与师承“双轨融合”中医药人才培养模式构建与实践研究</w:t>
            </w:r>
          </w:p>
        </w:tc>
        <w:tc>
          <w:tcPr>
            <w:tcW w:w="1045" w:type="dxa"/>
            <w:shd w:val="clear" w:color="auto" w:fill="auto"/>
            <w:vAlign w:val="center"/>
          </w:tcPr>
          <w:p w14:paraId="32F8F9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谷鑫</w:t>
            </w:r>
          </w:p>
        </w:tc>
      </w:tr>
      <w:tr w14:paraId="755C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59" w:type="dxa"/>
            <w:vAlign w:val="center"/>
          </w:tcPr>
          <w:p w14:paraId="6A32925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4</w:t>
            </w:r>
          </w:p>
        </w:tc>
        <w:tc>
          <w:tcPr>
            <w:tcW w:w="1427" w:type="dxa"/>
            <w:shd w:val="clear" w:color="auto" w:fill="auto"/>
            <w:vAlign w:val="center"/>
          </w:tcPr>
          <w:p w14:paraId="06A0568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一般课题</w:t>
            </w:r>
          </w:p>
        </w:tc>
        <w:tc>
          <w:tcPr>
            <w:tcW w:w="4905" w:type="dxa"/>
            <w:shd w:val="clear" w:color="auto" w:fill="auto"/>
            <w:vAlign w:val="center"/>
          </w:tcPr>
          <w:p w14:paraId="7AB1A6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基于师承与国际化的中医药高校教师传承与交叉创新复合能力提升研究</w:t>
            </w:r>
          </w:p>
        </w:tc>
        <w:tc>
          <w:tcPr>
            <w:tcW w:w="1045" w:type="dxa"/>
            <w:shd w:val="clear" w:color="auto" w:fill="auto"/>
            <w:vAlign w:val="center"/>
          </w:tcPr>
          <w:p w14:paraId="0D6C9E1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孙东东</w:t>
            </w:r>
          </w:p>
        </w:tc>
      </w:tr>
      <w:tr w14:paraId="6626B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59" w:type="dxa"/>
            <w:vAlign w:val="center"/>
          </w:tcPr>
          <w:p w14:paraId="1783C7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5</w:t>
            </w:r>
          </w:p>
        </w:tc>
        <w:tc>
          <w:tcPr>
            <w:tcW w:w="1427" w:type="dxa"/>
            <w:shd w:val="clear" w:color="auto" w:fill="auto"/>
            <w:vAlign w:val="center"/>
          </w:tcPr>
          <w:p w14:paraId="42E456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一般课题</w:t>
            </w:r>
          </w:p>
        </w:tc>
        <w:tc>
          <w:tcPr>
            <w:tcW w:w="4905" w:type="dxa"/>
            <w:shd w:val="clear" w:color="auto" w:fill="auto"/>
            <w:vAlign w:val="center"/>
          </w:tcPr>
          <w:p w14:paraId="19D8A31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生成式人工智能对中医药院校学生批判性思维的影响与培育策略研究</w:t>
            </w:r>
          </w:p>
        </w:tc>
        <w:tc>
          <w:tcPr>
            <w:tcW w:w="1045" w:type="dxa"/>
            <w:shd w:val="clear" w:color="auto" w:fill="auto"/>
            <w:vAlign w:val="center"/>
          </w:tcPr>
          <w:p w14:paraId="7C876D3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陈明</w:t>
            </w:r>
          </w:p>
        </w:tc>
      </w:tr>
      <w:tr w14:paraId="0E025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59" w:type="dxa"/>
            <w:vAlign w:val="center"/>
          </w:tcPr>
          <w:p w14:paraId="6856D76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6</w:t>
            </w:r>
          </w:p>
        </w:tc>
        <w:tc>
          <w:tcPr>
            <w:tcW w:w="1427" w:type="dxa"/>
            <w:shd w:val="clear" w:color="auto" w:fill="auto"/>
            <w:vAlign w:val="center"/>
          </w:tcPr>
          <w:p w14:paraId="3C230E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一般课题</w:t>
            </w:r>
          </w:p>
        </w:tc>
        <w:tc>
          <w:tcPr>
            <w:tcW w:w="4905" w:type="dxa"/>
            <w:shd w:val="clear" w:color="auto" w:fill="auto"/>
            <w:vAlign w:val="center"/>
          </w:tcPr>
          <w:p w14:paraId="560FAEA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数智技术驱动中西医结合内科学思维教学范式变革与实践-基于“TPACK×认知学徒制”辅助嵌入VSP的GenAI案例研究</w:t>
            </w:r>
          </w:p>
        </w:tc>
        <w:tc>
          <w:tcPr>
            <w:tcW w:w="1045" w:type="dxa"/>
            <w:shd w:val="clear" w:color="auto" w:fill="auto"/>
            <w:vAlign w:val="center"/>
          </w:tcPr>
          <w:p w14:paraId="0BE6F61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刘丽娜</w:t>
            </w:r>
          </w:p>
        </w:tc>
      </w:tr>
      <w:tr w14:paraId="07A9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59" w:type="dxa"/>
            <w:vAlign w:val="center"/>
          </w:tcPr>
          <w:p w14:paraId="2E72C80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7</w:t>
            </w:r>
          </w:p>
        </w:tc>
        <w:tc>
          <w:tcPr>
            <w:tcW w:w="1427" w:type="dxa"/>
            <w:shd w:val="clear" w:color="auto" w:fill="auto"/>
            <w:vAlign w:val="center"/>
          </w:tcPr>
          <w:p w14:paraId="4B5FF90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一般课题</w:t>
            </w:r>
          </w:p>
        </w:tc>
        <w:tc>
          <w:tcPr>
            <w:tcW w:w="4905" w:type="dxa"/>
            <w:shd w:val="clear" w:color="auto" w:fill="auto"/>
            <w:vAlign w:val="center"/>
          </w:tcPr>
          <w:p w14:paraId="074EA8A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数智驱动中西医结合康复“师—生—机”协同课堂构建与实证研究</w:t>
            </w:r>
          </w:p>
        </w:tc>
        <w:tc>
          <w:tcPr>
            <w:tcW w:w="1045" w:type="dxa"/>
            <w:shd w:val="clear" w:color="auto" w:fill="auto"/>
            <w:vAlign w:val="center"/>
          </w:tcPr>
          <w:p w14:paraId="022B21A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王磊</w:t>
            </w:r>
          </w:p>
        </w:tc>
      </w:tr>
      <w:tr w14:paraId="339D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59" w:type="dxa"/>
            <w:vAlign w:val="center"/>
          </w:tcPr>
          <w:p w14:paraId="1D6F4C1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8</w:t>
            </w:r>
          </w:p>
        </w:tc>
        <w:tc>
          <w:tcPr>
            <w:tcW w:w="1427" w:type="dxa"/>
            <w:shd w:val="clear" w:color="auto" w:fill="auto"/>
            <w:vAlign w:val="center"/>
          </w:tcPr>
          <w:p w14:paraId="57BB54C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一般课题</w:t>
            </w:r>
          </w:p>
        </w:tc>
        <w:tc>
          <w:tcPr>
            <w:tcW w:w="4905" w:type="dxa"/>
            <w:shd w:val="clear" w:color="auto" w:fill="auto"/>
            <w:vAlign w:val="center"/>
          </w:tcPr>
          <w:p w14:paraId="32D283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数字健康治理需求导向下中医药院校学生数智素养的测评体系构建与培育机制研究</w:t>
            </w:r>
          </w:p>
        </w:tc>
        <w:tc>
          <w:tcPr>
            <w:tcW w:w="1045" w:type="dxa"/>
            <w:shd w:val="clear" w:color="auto" w:fill="auto"/>
            <w:vAlign w:val="center"/>
          </w:tcPr>
          <w:p w14:paraId="0D8D5F3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张瑞利</w:t>
            </w:r>
          </w:p>
        </w:tc>
      </w:tr>
    </w:tbl>
    <w:p w14:paraId="4E15C37A">
      <w:pPr>
        <w:ind w:firstLine="210" w:firstLineChars="100"/>
        <w:rPr>
          <w:rFonts w:hint="default" w:eastAsia="宋体"/>
          <w:lang w:val="en-US" w:eastAsia="zh-CN"/>
        </w:rPr>
      </w:pPr>
      <w:r>
        <w:rPr>
          <w:rFonts w:hint="eastAsia"/>
          <w:lang w:val="en-US" w:eastAsia="zh-CN"/>
        </w:rPr>
        <w:t>备注：按课题类别及课题名称首字母排序。</w:t>
      </w:r>
    </w:p>
    <w:p w14:paraId="5F5D6A48"/>
    <w:sectPr>
      <w:footerReference r:id="rId5" w:type="first"/>
      <w:footerReference r:id="rId3" w:type="default"/>
      <w:footerReference r:id="rId4" w:type="even"/>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81BAA">
    <w:pPr>
      <w:pStyle w:val="2"/>
      <w:framePr w:wrap="around" w:vAnchor="text" w:hAnchor="margin" w:xAlign="center" w:y="1"/>
      <w:rPr>
        <w:rStyle w:val="5"/>
      </w:rPr>
    </w:pPr>
  </w:p>
  <w:p w14:paraId="1A6787B7">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482E6">
    <w:pPr>
      <w:pStyle w:val="2"/>
      <w:framePr w:wrap="around" w:vAnchor="text" w:hAnchor="margin" w:xAlign="center" w:y="1"/>
      <w:rPr>
        <w:rStyle w:val="5"/>
      </w:rPr>
    </w:pPr>
    <w:r>
      <w:fldChar w:fldCharType="begin"/>
    </w:r>
    <w:r>
      <w:rPr>
        <w:rStyle w:val="5"/>
      </w:rPr>
      <w:instrText xml:space="preserve">PAGE  </w:instrText>
    </w:r>
    <w:r>
      <w:fldChar w:fldCharType="end"/>
    </w:r>
  </w:p>
  <w:p w14:paraId="3FDC5E49">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36BA2">
    <w:pPr>
      <w:pStyle w:val="2"/>
      <w:framePr w:wrap="around" w:vAnchor="text" w:hAnchor="margin" w:xAlign="center" w:y="1"/>
      <w:rPr>
        <w:rStyle w:val="5"/>
      </w:rPr>
    </w:pPr>
  </w:p>
  <w:p w14:paraId="74F3B486">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153590"/>
    <w:rsid w:val="25153590"/>
    <w:rsid w:val="55494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386</Words>
  <Characters>396</Characters>
  <Lines>0</Lines>
  <Paragraphs>0</Paragraphs>
  <TotalTime>0</TotalTime>
  <ScaleCrop>false</ScaleCrop>
  <LinksUpToDate>false</LinksUpToDate>
  <CharactersWithSpaces>397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2026-10-12T06:16:00Z</dcterms:created>
  <dc:creator>Nff</dc:creator>
  <cp:lastModifiedBy>Nff</cp:lastModifiedBy>
  <dcterms:modified xsi:type="dcterms:W3CDTF">2026-10-12T06:19:02Z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20E25DB32A9341BF9BB55F0508919A77_11</vt:lpwstr>
  </property>
  <property fmtid="{D5CDD505-2E9C-101B-9397-08002B2CF9AE}" pid="4" name="KSOTemplateDocerSaveRecord">
    <vt:lpwstr>eyJoZGlkIjoiNmViZWVhYTdjMmYwN2EzNDQ4MzgzYWU2ZjEyMmZmYWEiLCJ1c2VySWQiOiIyOTgxNzY0MTYifQ==</vt:lpwstr>
  </property>
</Properties>
</file>