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64FF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附件1：</w:t>
      </w:r>
    </w:p>
    <w:p w14:paraId="09DBD2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南京中医药大学2024年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教育教学研究课题立项指南</w:t>
      </w:r>
    </w:p>
    <w:p w14:paraId="1076A3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为贯彻落实学校第四次党代会精神，积极推进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新医科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”建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设，全面提升我校教师教育教学能力水平，构建完善教学质量监控与保障体系，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遴选一批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特色鲜明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创新性强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推广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应用价值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高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的教育教学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研究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开展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建设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力争形成高水平、高质量的教学成果，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拟定下列选题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内容供申请人参考，其研究内容涉及高等教育教学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研究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方向，不是具体的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课题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名称。申请人可在本指南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范围内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，根据实际情况确定具体的研究内容和课题名称。</w:t>
      </w:r>
    </w:p>
    <w:p w14:paraId="3393C1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方正黑体_GBK" w:hAnsi="方正黑体_GBK" w:eastAsia="方正黑体_GBK" w:cs="方正黑体_GBK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一、人才培养</w:t>
      </w:r>
    </w:p>
    <w:p w14:paraId="510B5E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1-1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中医药人才自主培养体系研究</w:t>
      </w:r>
    </w:p>
    <w:p w14:paraId="54DE62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1-2中医药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养老服务管理人才培养体系研究</w:t>
      </w:r>
    </w:p>
    <w:p w14:paraId="2FA87D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1-3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中西医结合人才培养模式改革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研究</w:t>
      </w:r>
    </w:p>
    <w:p w14:paraId="64D46D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1-4协同育人机制改革研究</w:t>
      </w:r>
    </w:p>
    <w:p w14:paraId="674118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1-5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学生自主学习能力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提升路径研究</w:t>
      </w:r>
    </w:p>
    <w:p w14:paraId="22A36F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1-6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学生个性化培养体系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构建*</w:t>
      </w:r>
    </w:p>
    <w:p w14:paraId="1A2210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1-7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</w:rPr>
        <w:t>以学为中心的人才培养模式创新与实践</w:t>
      </w:r>
    </w:p>
    <w:p w14:paraId="5DE8FC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1-8“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五育并举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”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教育理念下的育人模式研究与实践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*</w:t>
      </w:r>
    </w:p>
    <w:p w14:paraId="4F7D14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1-9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国际化中医药人才培养模式研究与实践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*</w:t>
      </w:r>
    </w:p>
    <w:p w14:paraId="16EB4F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1-10中医流派传承教育研究与实践</w:t>
      </w:r>
    </w:p>
    <w:p w14:paraId="2943F3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方正黑体_GBK" w:hAnsi="方正黑体_GBK" w:eastAsia="方正黑体_GBK" w:cs="方正黑体_GBK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二、专业与学位点建设</w:t>
      </w:r>
    </w:p>
    <w:p w14:paraId="5AFCA5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2-1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专业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、学位点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优化动态调整机制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体制研究*</w:t>
      </w:r>
    </w:p>
    <w:p w14:paraId="1863A3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2-2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一流专业建设的理论与实践研究</w:t>
      </w:r>
    </w:p>
    <w:p w14:paraId="653DEC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2-3“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四新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”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背景下专业建设进展与效果研究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*</w:t>
      </w:r>
    </w:p>
    <w:p w14:paraId="2A254D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2-4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新医科视域下学科专业交叉融合研究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*</w:t>
      </w:r>
    </w:p>
    <w:p w14:paraId="08752C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2-5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双学位、辅修第二专业培养模式研究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*</w:t>
      </w:r>
    </w:p>
    <w:p w14:paraId="4A30BE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2-6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课程思政示范专业的建设与研究</w:t>
      </w:r>
    </w:p>
    <w:p w14:paraId="261DE4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2-7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专业建设评价指标体系研究</w:t>
      </w:r>
    </w:p>
    <w:p w14:paraId="7653789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2-8研究生教育分类培养发展路径研究</w:t>
      </w:r>
    </w:p>
    <w:p w14:paraId="68B871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方正黑体_GBK" w:hAnsi="方正黑体_GBK" w:eastAsia="方正黑体_GBK" w:cs="方正黑体_GBK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三、课程与教材建设</w:t>
      </w:r>
    </w:p>
    <w:p w14:paraId="37DD8A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3-1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一流课程建设理论与实践研究</w:t>
      </w:r>
    </w:p>
    <w:p w14:paraId="7C31CA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3-2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课程思政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创新路径研究</w:t>
      </w:r>
    </w:p>
    <w:p w14:paraId="0D09C7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3-3中医药经典基础课程建设研究</w:t>
      </w:r>
    </w:p>
    <w:p w14:paraId="06D884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3-4课程教学高阶性提升路径研究*</w:t>
      </w:r>
    </w:p>
    <w:p w14:paraId="27C6C1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3-5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课程融合实施策略与实践研究</w:t>
      </w:r>
    </w:p>
    <w:p w14:paraId="7836AD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3-6课程教材的准入、建设、评价与淘汰机制研究*</w:t>
      </w:r>
    </w:p>
    <w:p w14:paraId="07B1C59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3-7数字化、新形态教材的研究与实践*</w:t>
      </w:r>
    </w:p>
    <w:p w14:paraId="0B9085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3-8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中医药特色融合创新教材建设研究与实践</w:t>
      </w:r>
    </w:p>
    <w:p w14:paraId="216C6D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3-9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中医药国际化课程数字化实施路径研究</w:t>
      </w:r>
    </w:p>
    <w:p w14:paraId="63940E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3-10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中医药外文教材建设研究与实践</w:t>
      </w:r>
    </w:p>
    <w:p w14:paraId="148512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方正黑体_GBK" w:hAnsi="方正黑体_GBK" w:eastAsia="方正黑体_GBK" w:cs="方正黑体_GBK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四、教师发展与基层教学组织建设</w:t>
      </w:r>
    </w:p>
    <w:p w14:paraId="119725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4-1教师教学创新能力提升研究</w:t>
      </w:r>
    </w:p>
    <w:p w14:paraId="2FE6ED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4-2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教师发展及服务支持体系研究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*</w:t>
      </w:r>
    </w:p>
    <w:p w14:paraId="1E93A6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4-3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教学名师成长机制与管理研究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*</w:t>
      </w:r>
    </w:p>
    <w:p w14:paraId="79EBB9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4-4教师分类评价指标体系构建研究*</w:t>
      </w:r>
    </w:p>
    <w:p w14:paraId="505E05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4-5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教师荣誉体系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建设研究*</w:t>
      </w:r>
    </w:p>
    <w:p w14:paraId="2B543C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4-6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中医药教育师资国际化培养与交流机制探索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*</w:t>
      </w:r>
    </w:p>
    <w:p w14:paraId="3E4088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4-7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基层教学组织创新与教学管理制度改革研究</w:t>
      </w:r>
    </w:p>
    <w:p w14:paraId="680D6B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4-8虚拟教研室建设与实践研究</w:t>
      </w:r>
    </w:p>
    <w:p w14:paraId="41F7ED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default" w:ascii="方正黑体_GBK" w:hAnsi="方正黑体_GBK" w:eastAsia="方正黑体_GBK" w:cs="方正黑体_GBK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五、创新创业实践教育研究</w:t>
      </w:r>
    </w:p>
    <w:p w14:paraId="683D51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5-1创新创业教育改革体制机制研究*</w:t>
      </w:r>
    </w:p>
    <w:p w14:paraId="593612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5-2“互联网+教育”理论与实践探索</w:t>
      </w:r>
    </w:p>
    <w:p w14:paraId="67D93B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5-3实践教学体系、模式、内容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改革研究与实践</w:t>
      </w:r>
    </w:p>
    <w:p w14:paraId="427EA7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5-4学生实践创新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能力评价体系研究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*</w:t>
      </w:r>
    </w:p>
    <w:p w14:paraId="0F46E1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5-5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临床技能培养与实践教学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研究</w:t>
      </w:r>
    </w:p>
    <w:p w14:paraId="6B6B68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5-6学生竞赛活动组织管理模式研究与实践*</w:t>
      </w:r>
    </w:p>
    <w:p w14:paraId="768F0B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5-7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职业生涯规划、就业指导与服务研究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*</w:t>
      </w:r>
    </w:p>
    <w:p w14:paraId="2C1F53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5-8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以学生学习成果为导向的教育评价研究</w:t>
      </w:r>
    </w:p>
    <w:p w14:paraId="7CBCC3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default" w:ascii="方正黑体_GBK" w:hAnsi="方正黑体_GBK" w:eastAsia="方正黑体_GBK" w:cs="方正黑体_GBK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六、教育数字化转型研究</w:t>
      </w:r>
    </w:p>
    <w:p w14:paraId="39DACF9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6-1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中医药教育数字化转型路径研究</w:t>
      </w:r>
    </w:p>
    <w:p w14:paraId="5B9EAE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6-2信息化赋能教育教学管理改革与创新</w:t>
      </w:r>
    </w:p>
    <w:p w14:paraId="2EA2D9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6-3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数字化自主学习平台的研究</w:t>
      </w:r>
    </w:p>
    <w:p w14:paraId="29D610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6-4人工智能工具在教学中的应用</w:t>
      </w:r>
    </w:p>
    <w:p w14:paraId="740730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6-5教育教学数字化转型中的数据资源挖掘与治理</w:t>
      </w:r>
    </w:p>
    <w:p w14:paraId="3AB477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6-6“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共建共享式资源库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”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构建与应用机制研究</w:t>
      </w:r>
    </w:p>
    <w:p w14:paraId="506DA7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方正黑体_GBK" w:hAnsi="方正黑体_GBK" w:eastAsia="方正黑体_GBK" w:cs="方正黑体_GBK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七、质量文化与保障体系建设</w:t>
      </w:r>
    </w:p>
    <w:p w14:paraId="46DD30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7-1“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五自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”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大学质量文化建设路径研究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*</w:t>
      </w:r>
    </w:p>
    <w:p w14:paraId="112C359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7-2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校园文化建设研究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与实践*</w:t>
      </w:r>
    </w:p>
    <w:p w14:paraId="5CA32D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7-3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教学质量保障及教学评价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体系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研究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*</w:t>
      </w:r>
    </w:p>
    <w:p w14:paraId="1D7A6A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7-4专业认证、课程评估研究*</w:t>
      </w:r>
    </w:p>
    <w:p w14:paraId="197DAF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7-5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科研反哺教学实施路径的探索与研究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*</w:t>
      </w:r>
    </w:p>
    <w:p w14:paraId="709AAF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7-6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教学激励与评价保障机制研究与实践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*</w:t>
      </w:r>
    </w:p>
    <w:p w14:paraId="4D9527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7-7教学资源建设和共享机制研究*</w:t>
      </w:r>
    </w:p>
    <w:p w14:paraId="357F56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7-8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学位论文质量监控及策略研究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*</w:t>
      </w:r>
    </w:p>
    <w:p w14:paraId="2A1C55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7-9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毕业生就业质量跟踪调查实证研究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*</w:t>
      </w:r>
    </w:p>
    <w:p w14:paraId="00CD18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7-10中国传统中医药教育模式及评价体系研究</w:t>
      </w:r>
    </w:p>
    <w:p w14:paraId="77D5AF7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方正黑体_GBK" w:hAnsi="方正黑体_GBK" w:eastAsia="方正黑体_GBK" w:cs="方正黑体_GBK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方正黑体_GBK" w:hAnsi="方正黑体_GBK" w:eastAsia="方正黑体_GBK" w:cs="方正黑体_GBK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拔尖创新人才</w:t>
      </w:r>
      <w:r>
        <w:rPr>
          <w:rFonts w:hint="eastAsia" w:ascii="方正黑体_GBK" w:hAnsi="方正黑体_GBK" w:eastAsia="方正黑体_GBK" w:cs="方正黑体_GBK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专项</w:t>
      </w:r>
    </w:p>
    <w:p w14:paraId="134A0F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8-1中医药拔尖创新人才培养书院建设与运行模式研究</w:t>
      </w:r>
    </w:p>
    <w:p w14:paraId="27BAA5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8-2中西医结合高层次人才本研贯通培养模式探索研究</w:t>
      </w:r>
    </w:p>
    <w:p w14:paraId="790F5C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8-3中医药拔尖创新人才培养专业建设标准研究</w:t>
      </w:r>
    </w:p>
    <w:p w14:paraId="507FA6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8-4中医药拔尖创新人才培养课程体系结构优化研究</w:t>
      </w:r>
    </w:p>
    <w:p w14:paraId="61F361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8-5中医药拔尖创新人才实践能力贯通培养研究</w:t>
      </w:r>
    </w:p>
    <w:p w14:paraId="5FAF26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8-6中医药拔尖创新人才国学基础与人文素养培养研究</w:t>
      </w:r>
    </w:p>
    <w:p w14:paraId="2BAC7B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8-7中医药拔尖创新人才国际化能力培养研究</w:t>
      </w:r>
    </w:p>
    <w:p w14:paraId="5A7243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8-8中医药拔尖创新人才培养学业评价体系构建研究</w:t>
      </w:r>
    </w:p>
    <w:p w14:paraId="4CD0255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8-9中医药拔尖创新人才培养选拔分流机制研究</w:t>
      </w:r>
    </w:p>
    <w:p w14:paraId="081C38A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方正黑体_GBK" w:hAnsi="方正黑体_GBK" w:eastAsia="方正黑体_GBK" w:cs="方正黑体_GBK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临床教学研究专项</w:t>
      </w:r>
    </w:p>
    <w:p w14:paraId="57B55D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9-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医教协同深化临床医学人才培养改革研究与实践</w:t>
      </w:r>
    </w:p>
    <w:p w14:paraId="6812EE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9-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临床课程教学模式创新与实践研究</w:t>
      </w:r>
    </w:p>
    <w:p w14:paraId="4CC422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9-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临床思维训练途径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与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方法研究</w:t>
      </w:r>
    </w:p>
    <w:p w14:paraId="13400F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9-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临床师资教学能力提升研究</w:t>
      </w:r>
    </w:p>
    <w:p w14:paraId="7A6199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9-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5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以岗位胜任力为导向的临床教学模式改革与实践</w:t>
      </w:r>
    </w:p>
    <w:p w14:paraId="39C1FD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9-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6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人工智能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背景下临床教学模式改革研究</w:t>
      </w:r>
    </w:p>
    <w:p w14:paraId="702AEF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9-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7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临床教学团队的建设与管理</w:t>
      </w:r>
    </w:p>
    <w:p w14:paraId="7FF47B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9-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8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临床综合能力培养及评价体系构建研究</w:t>
      </w:r>
    </w:p>
    <w:p w14:paraId="38977A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9-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9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实践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教学质量评价体系研究</w:t>
      </w:r>
    </w:p>
    <w:p w14:paraId="36CAC4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eastAsia="楷体_GB2312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9-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10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中医药师承教育教学方法改革的研究与实践</w:t>
      </w:r>
    </w:p>
    <w:p w14:paraId="663DF6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方正黑体_GBK" w:hAnsi="方正黑体_GBK" w:eastAsia="方正黑体_GBK" w:cs="方正黑体_GBK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650929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备注：标记*条目与审核评估整改问题密切相关，可从整改任务落实推进角度开展相关研究。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A4AB5AF2-6116-48DE-9746-75834232A5C0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6D05338F-7204-4FE0-BB52-6CD433F75ED7}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5D5F75B7-E8BD-4B33-B8D0-27545CDDCD5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487E3D2C-FEBC-4149-98C3-2EA7C53D0CE8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BA4E6879-DFF7-474D-BFEE-18EA25DFE80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71197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511784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511784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FE0540"/>
    <w:multiLevelType w:val="singleLevel"/>
    <w:tmpl w:val="5BFE0540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iZWVhYTdjMmYwN2EzNDQ4MzgzYWU2ZjEyMmZmYWEifQ=="/>
  </w:docVars>
  <w:rsids>
    <w:rsidRoot w:val="574058CA"/>
    <w:rsid w:val="05025778"/>
    <w:rsid w:val="0B9754F6"/>
    <w:rsid w:val="0ECD3777"/>
    <w:rsid w:val="0F3E6E82"/>
    <w:rsid w:val="1155307D"/>
    <w:rsid w:val="125C7ED8"/>
    <w:rsid w:val="13E61CAE"/>
    <w:rsid w:val="155C29B6"/>
    <w:rsid w:val="15786FC5"/>
    <w:rsid w:val="178B0C2F"/>
    <w:rsid w:val="18DB68D8"/>
    <w:rsid w:val="1FBE77FD"/>
    <w:rsid w:val="20A955AB"/>
    <w:rsid w:val="238663BB"/>
    <w:rsid w:val="25B606E4"/>
    <w:rsid w:val="2C6B5A9B"/>
    <w:rsid w:val="37787172"/>
    <w:rsid w:val="3EDC4B68"/>
    <w:rsid w:val="3F4924FD"/>
    <w:rsid w:val="403B3790"/>
    <w:rsid w:val="4F5E7058"/>
    <w:rsid w:val="51782617"/>
    <w:rsid w:val="52456EBE"/>
    <w:rsid w:val="54895115"/>
    <w:rsid w:val="563D7B91"/>
    <w:rsid w:val="57D63901"/>
    <w:rsid w:val="5ACC5286"/>
    <w:rsid w:val="5CE30ED2"/>
    <w:rsid w:val="5E7D7982"/>
    <w:rsid w:val="65975EE4"/>
    <w:rsid w:val="65AD32A9"/>
    <w:rsid w:val="66235942"/>
    <w:rsid w:val="6E883D9B"/>
    <w:rsid w:val="71D10413"/>
    <w:rsid w:val="7367389F"/>
    <w:rsid w:val="738D2B36"/>
    <w:rsid w:val="749E3527"/>
    <w:rsid w:val="79A334F6"/>
    <w:rsid w:val="7A380AE6"/>
    <w:rsid w:val="7B03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1690</Words>
  <Characters>1855</Characters>
  <Lines>0</Lines>
  <Paragraphs>0</Paragraphs>
  <TotalTime>4</TotalTime>
  <ScaleCrop>false</ScaleCrop>
  <LinksUpToDate>false</LinksUpToDate>
  <CharactersWithSpaces>1855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2024-06-19T06:21:00Z</dcterms:created>
  <dc:creator>N</dc:creator>
  <cp:lastModifiedBy>N</cp:lastModifiedBy>
  <cp:lastPrinted>2024-06-26T07:48:00Z</cp:lastPrinted>
  <dcterms:modified xsi:type="dcterms:W3CDTF">2024-06-27T04:56:45Z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F37C4FDD3F004FFEA882DFFCAC0303C8_13</vt:lpwstr>
  </property>
</Properties>
</file>